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2"/>
        <w:gridCol w:w="3150"/>
        <w:gridCol w:w="3150"/>
      </w:tblGrid>
      <w:tr w:rsidR="00253771" w:rsidRPr="008F618A" w14:paraId="3DE39F29" w14:textId="77777777" w:rsidTr="00BB3513">
        <w:trPr>
          <w:trHeight w:val="474"/>
          <w:jc w:val="center"/>
        </w:trPr>
        <w:tc>
          <w:tcPr>
            <w:tcW w:w="2972" w:type="dxa"/>
            <w:vAlign w:val="center"/>
          </w:tcPr>
          <w:p w14:paraId="4CC8F707" w14:textId="77777777" w:rsidR="00253771" w:rsidRPr="001A25FB" w:rsidRDefault="00253771" w:rsidP="00BB3513">
            <w:pPr>
              <w:tabs>
                <w:tab w:val="left" w:pos="800"/>
                <w:tab w:val="right" w:leader="dot" w:pos="10195"/>
              </w:tabs>
              <w:spacing w:before="40" w:after="40"/>
              <w:rPr>
                <w:rFonts w:ascii="Trebuchet MS" w:hAnsi="Trebuchet MS"/>
                <w:smallCaps/>
                <w:sz w:val="32"/>
                <w:szCs w:val="32"/>
              </w:rPr>
            </w:pPr>
            <w:r w:rsidRPr="001A25FB">
              <w:rPr>
                <w:rFonts w:ascii="Trebuchet MS" w:hAnsi="Trebuchet MS"/>
                <w:smallCaps/>
                <w:sz w:val="32"/>
                <w:szCs w:val="32"/>
              </w:rPr>
              <w:t>Rete ITS Toscana</w:t>
            </w:r>
            <w:r>
              <w:rPr>
                <w:rFonts w:ascii="Trebuchet MS" w:hAnsi="Trebuchet MS"/>
                <w:smallCaps/>
                <w:sz w:val="32"/>
                <w:szCs w:val="32"/>
              </w:rPr>
              <w:t xml:space="preserve"> </w:t>
            </w:r>
          </w:p>
        </w:tc>
        <w:tc>
          <w:tcPr>
            <w:tcW w:w="3150" w:type="dxa"/>
          </w:tcPr>
          <w:p w14:paraId="54B99D09" w14:textId="77777777" w:rsidR="00253771" w:rsidRDefault="00253771" w:rsidP="00BB3513">
            <w:pPr>
              <w:tabs>
                <w:tab w:val="left" w:pos="1485"/>
              </w:tabs>
              <w:jc w:val="center"/>
              <w:rPr>
                <w:noProof/>
              </w:rPr>
            </w:pPr>
          </w:p>
        </w:tc>
        <w:tc>
          <w:tcPr>
            <w:tcW w:w="3150" w:type="dxa"/>
            <w:vAlign w:val="center"/>
          </w:tcPr>
          <w:p w14:paraId="6FCA45C6" w14:textId="77777777" w:rsidR="00253771" w:rsidRPr="008F618A" w:rsidRDefault="00253771" w:rsidP="00BB3513">
            <w:pPr>
              <w:tabs>
                <w:tab w:val="left" w:pos="1485"/>
              </w:tabs>
              <w:jc w:val="center"/>
              <w:rPr>
                <w:rFonts w:ascii="Trebuchet MS" w:hAnsi="Trebuchet MS"/>
                <w:b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5DC6D4" wp14:editId="08A1922E">
                  <wp:extent cx="1371600" cy="450850"/>
                  <wp:effectExtent l="0" t="0" r="0" b="635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DDFA4" w14:textId="598FB0FA" w:rsidR="00253771" w:rsidRDefault="00253771" w:rsidP="006F56CA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3A3671E6" w14:textId="3A48A2F0" w:rsidR="00253771" w:rsidRPr="004A4654" w:rsidRDefault="00DB161F" w:rsidP="006F56CA">
      <w:pPr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4A4654">
        <w:rPr>
          <w:rFonts w:ascii="Trebuchet MS" w:hAnsi="Trebuchet MS"/>
          <w:b/>
          <w:bCs/>
          <w:i/>
          <w:iCs/>
          <w:sz w:val="28"/>
          <w:szCs w:val="28"/>
        </w:rPr>
        <w:t>Allegato 3</w:t>
      </w:r>
    </w:p>
    <w:p w14:paraId="332D1249" w14:textId="6779797C" w:rsidR="000D3110" w:rsidRPr="00400DEA" w:rsidRDefault="006F56CA" w:rsidP="006F56CA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400DEA">
        <w:rPr>
          <w:rFonts w:ascii="Trebuchet MS" w:hAnsi="Trebuchet MS"/>
          <w:b/>
          <w:bCs/>
          <w:sz w:val="28"/>
          <w:szCs w:val="28"/>
        </w:rPr>
        <w:t>Riepilogo ambiti di intervento per ogni ITS distinto per area tecnologica</w:t>
      </w:r>
      <w:r w:rsidR="000D3110" w:rsidRPr="00400DEA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28FC8A10" w14:textId="75540412" w:rsidR="006733E7" w:rsidRPr="00400DEA" w:rsidRDefault="000D3110" w:rsidP="006F56CA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400DEA">
        <w:rPr>
          <w:rFonts w:ascii="Trebuchet MS" w:hAnsi="Trebuchet MS"/>
          <w:b/>
          <w:bCs/>
          <w:sz w:val="28"/>
          <w:szCs w:val="28"/>
        </w:rPr>
        <w:t>finalizzati alla realizzazione dei percorsi B e C</w:t>
      </w:r>
    </w:p>
    <w:p w14:paraId="12756D88" w14:textId="491D2AFE" w:rsidR="009130C8" w:rsidRDefault="009130C8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834"/>
        <w:gridCol w:w="2835"/>
        <w:gridCol w:w="4107"/>
      </w:tblGrid>
      <w:tr w:rsidR="009130C8" w:rsidRPr="00892A4E" w14:paraId="3EA6097F" w14:textId="77777777" w:rsidTr="00400DEA">
        <w:tc>
          <w:tcPr>
            <w:tcW w:w="2834" w:type="dxa"/>
            <w:shd w:val="clear" w:color="auto" w:fill="F2F2F2" w:themeFill="background1" w:themeFillShade="F2"/>
          </w:tcPr>
          <w:p w14:paraId="4FA1B850" w14:textId="77777777" w:rsidR="009130C8" w:rsidRPr="00892A4E" w:rsidRDefault="009130C8" w:rsidP="009130C8">
            <w:pPr>
              <w:spacing w:afterLines="160" w:after="384" w:line="276" w:lineRule="auto"/>
              <w:jc w:val="center"/>
              <w:rPr>
                <w:rFonts w:ascii="Trebuchet MS" w:hAnsi="Trebuchet MS" w:cs="Times New Roman"/>
                <w:b/>
                <w:bCs/>
                <w:i/>
                <w:iCs/>
              </w:rPr>
            </w:pPr>
            <w:r w:rsidRPr="00892A4E">
              <w:rPr>
                <w:rFonts w:ascii="Trebuchet MS" w:hAnsi="Trebuchet MS" w:cs="Times New Roman"/>
                <w:b/>
                <w:bCs/>
                <w:i/>
                <w:iCs/>
              </w:rPr>
              <w:t>ITS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A28B01B" w14:textId="77777777" w:rsidR="009130C8" w:rsidRPr="00892A4E" w:rsidRDefault="009130C8" w:rsidP="009130C8">
            <w:pPr>
              <w:spacing w:afterLines="160" w:after="384" w:line="276" w:lineRule="auto"/>
              <w:jc w:val="center"/>
              <w:rPr>
                <w:rFonts w:ascii="Trebuchet MS" w:hAnsi="Trebuchet MS" w:cs="Times New Roman"/>
                <w:b/>
                <w:bCs/>
                <w:i/>
                <w:iCs/>
              </w:rPr>
            </w:pPr>
            <w:r w:rsidRPr="00892A4E">
              <w:rPr>
                <w:rFonts w:ascii="Trebuchet MS" w:hAnsi="Trebuchet MS" w:cs="Times New Roman"/>
                <w:b/>
                <w:bCs/>
                <w:i/>
                <w:iCs/>
              </w:rPr>
              <w:t>Area tecnologica</w:t>
            </w:r>
          </w:p>
        </w:tc>
        <w:tc>
          <w:tcPr>
            <w:tcW w:w="4107" w:type="dxa"/>
            <w:shd w:val="clear" w:color="auto" w:fill="F2F2F2" w:themeFill="background1" w:themeFillShade="F2"/>
          </w:tcPr>
          <w:p w14:paraId="55F8A385" w14:textId="77777777" w:rsidR="009130C8" w:rsidRPr="00892A4E" w:rsidRDefault="009130C8" w:rsidP="009130C8">
            <w:pPr>
              <w:spacing w:afterLines="160" w:after="384" w:line="276" w:lineRule="auto"/>
              <w:jc w:val="center"/>
              <w:rPr>
                <w:rFonts w:ascii="Trebuchet MS" w:hAnsi="Trebuchet MS" w:cs="Times New Roman"/>
                <w:b/>
                <w:bCs/>
                <w:i/>
                <w:iCs/>
              </w:rPr>
            </w:pPr>
            <w:r w:rsidRPr="00892A4E">
              <w:rPr>
                <w:rFonts w:ascii="Trebuchet MS" w:hAnsi="Trebuchet MS" w:cs="Times New Roman"/>
                <w:b/>
                <w:bCs/>
                <w:i/>
                <w:iCs/>
              </w:rPr>
              <w:t>Ambiti di intervento</w:t>
            </w:r>
          </w:p>
        </w:tc>
      </w:tr>
      <w:tr w:rsidR="009130C8" w:rsidRPr="009130C8" w14:paraId="5B36E647" w14:textId="77777777" w:rsidTr="006F56CA">
        <w:trPr>
          <w:trHeight w:val="586"/>
        </w:trPr>
        <w:tc>
          <w:tcPr>
            <w:tcW w:w="2834" w:type="dxa"/>
            <w:vMerge w:val="restart"/>
            <w:shd w:val="clear" w:color="auto" w:fill="auto"/>
          </w:tcPr>
          <w:p w14:paraId="02C7215C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>EAT Eccellenza Agroalimentare Toscana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C578031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>Agroalimentare</w:t>
            </w:r>
          </w:p>
        </w:tc>
        <w:tc>
          <w:tcPr>
            <w:tcW w:w="4107" w:type="dxa"/>
            <w:shd w:val="clear" w:color="auto" w:fill="auto"/>
          </w:tcPr>
          <w:p w14:paraId="33DDB35E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Calibri"/>
                <w:i/>
                <w:iCs/>
              </w:rPr>
              <w:t>Agricoltura digitale e sostenibile</w:t>
            </w:r>
          </w:p>
        </w:tc>
      </w:tr>
      <w:tr w:rsidR="009130C8" w:rsidRPr="009130C8" w14:paraId="059822F7" w14:textId="77777777" w:rsidTr="006F56CA">
        <w:trPr>
          <w:trHeight w:val="658"/>
        </w:trPr>
        <w:tc>
          <w:tcPr>
            <w:tcW w:w="2834" w:type="dxa"/>
            <w:vMerge/>
            <w:shd w:val="clear" w:color="auto" w:fill="auto"/>
          </w:tcPr>
          <w:p w14:paraId="642D166B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C204E7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1E42D954" w14:textId="77777777" w:rsidR="009130C8" w:rsidRPr="006F56CA" w:rsidRDefault="009130C8" w:rsidP="009130C8">
            <w:pPr>
              <w:rPr>
                <w:rFonts w:ascii="Trebuchet MS" w:hAnsi="Trebuchet MS"/>
                <w:i/>
              </w:rPr>
            </w:pPr>
            <w:r w:rsidRPr="006F56CA">
              <w:rPr>
                <w:rFonts w:ascii="Trebuchet MS" w:hAnsi="Trebuchet MS"/>
                <w:i/>
              </w:rPr>
              <w:t>Agrifood: tra figure professionali e mercato del lavoro 4.0</w:t>
            </w:r>
          </w:p>
        </w:tc>
      </w:tr>
      <w:tr w:rsidR="009130C8" w:rsidRPr="009130C8" w14:paraId="740A64B2" w14:textId="77777777" w:rsidTr="006F56CA">
        <w:trPr>
          <w:trHeight w:val="501"/>
        </w:trPr>
        <w:tc>
          <w:tcPr>
            <w:tcW w:w="2834" w:type="dxa"/>
            <w:vMerge/>
            <w:shd w:val="clear" w:color="auto" w:fill="auto"/>
          </w:tcPr>
          <w:p w14:paraId="38822117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3C5482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6C82E14E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/>
                <w:i/>
              </w:rPr>
            </w:pPr>
            <w:r w:rsidRPr="006F56CA">
              <w:rPr>
                <w:rFonts w:ascii="Trebuchet MS" w:hAnsi="Trebuchet MS"/>
                <w:i/>
              </w:rPr>
              <w:t>Packaging ed etichetta 4.0</w:t>
            </w:r>
          </w:p>
        </w:tc>
      </w:tr>
      <w:tr w:rsidR="009130C8" w:rsidRPr="009130C8" w14:paraId="5899B6EA" w14:textId="77777777" w:rsidTr="006F56CA">
        <w:trPr>
          <w:trHeight w:val="1156"/>
        </w:trPr>
        <w:tc>
          <w:tcPr>
            <w:tcW w:w="2834" w:type="dxa"/>
            <w:vMerge w:val="restart"/>
            <w:shd w:val="clear" w:color="auto" w:fill="auto"/>
          </w:tcPr>
          <w:p w14:paraId="4DC5E824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proofErr w:type="spellStart"/>
            <w:r w:rsidRPr="006F56CA">
              <w:rPr>
                <w:rFonts w:ascii="Trebuchet MS" w:hAnsi="Trebuchet MS" w:cs="Times New Roman"/>
              </w:rPr>
              <w:t>EeA</w:t>
            </w:r>
            <w:proofErr w:type="spellEnd"/>
            <w:r w:rsidRPr="006F56CA">
              <w:rPr>
                <w:rFonts w:ascii="Trebuchet MS" w:hAnsi="Trebuchet MS" w:cs="Times New Roman"/>
              </w:rPr>
              <w:t xml:space="preserve"> Energia e ambiente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678113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>Efficienza energetica</w:t>
            </w:r>
          </w:p>
        </w:tc>
        <w:tc>
          <w:tcPr>
            <w:tcW w:w="4107" w:type="dxa"/>
            <w:shd w:val="clear" w:color="auto" w:fill="auto"/>
          </w:tcPr>
          <w:p w14:paraId="69CF8121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/>
                <w:i/>
              </w:rPr>
              <w:t>Fotovoltaico Condiviso: un modo efficace di produrre energia pulita per le comunità energetiche</w:t>
            </w:r>
          </w:p>
        </w:tc>
      </w:tr>
      <w:tr w:rsidR="009130C8" w:rsidRPr="009130C8" w14:paraId="0B529927" w14:textId="77777777" w:rsidTr="006F56CA">
        <w:trPr>
          <w:trHeight w:val="658"/>
        </w:trPr>
        <w:tc>
          <w:tcPr>
            <w:tcW w:w="2834" w:type="dxa"/>
            <w:vMerge/>
            <w:shd w:val="clear" w:color="auto" w:fill="auto"/>
          </w:tcPr>
          <w:p w14:paraId="1C0B0660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0062C5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1FDA0DDD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/>
                <w:i/>
              </w:rPr>
            </w:pPr>
            <w:proofErr w:type="spellStart"/>
            <w:r w:rsidRPr="006F56CA">
              <w:rPr>
                <w:rFonts w:ascii="Trebuchet MS" w:hAnsi="Trebuchet MS"/>
                <w:i/>
              </w:rPr>
              <w:t>SmartHome</w:t>
            </w:r>
            <w:proofErr w:type="spellEnd"/>
            <w:r w:rsidRPr="006F56CA">
              <w:rPr>
                <w:rFonts w:ascii="Trebuchet MS" w:hAnsi="Trebuchet MS"/>
                <w:i/>
              </w:rPr>
              <w:t>: la casa di oggi e di domani</w:t>
            </w:r>
          </w:p>
        </w:tc>
      </w:tr>
      <w:tr w:rsidR="009130C8" w:rsidRPr="009130C8" w14:paraId="0F10739E" w14:textId="77777777" w:rsidTr="006F56CA">
        <w:trPr>
          <w:trHeight w:val="744"/>
        </w:trPr>
        <w:tc>
          <w:tcPr>
            <w:tcW w:w="2834" w:type="dxa"/>
            <w:vMerge/>
            <w:shd w:val="clear" w:color="auto" w:fill="auto"/>
          </w:tcPr>
          <w:p w14:paraId="7ACA13AE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61E1FD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0727706B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/>
                <w:i/>
              </w:rPr>
            </w:pPr>
            <w:r w:rsidRPr="006F56CA">
              <w:rPr>
                <w:rFonts w:ascii="Trebuchet MS" w:hAnsi="Trebuchet MS"/>
                <w:i/>
              </w:rPr>
              <w:t>L'uomo, l'ambiente e l'energia: Energia rinnovabile ed Economia circolare per uno sviluppo sostenibile</w:t>
            </w:r>
          </w:p>
        </w:tc>
      </w:tr>
      <w:tr w:rsidR="009130C8" w:rsidRPr="009130C8" w14:paraId="1AE62D27" w14:textId="77777777" w:rsidTr="006F56CA">
        <w:tc>
          <w:tcPr>
            <w:tcW w:w="2834" w:type="dxa"/>
            <w:shd w:val="clear" w:color="auto" w:fill="auto"/>
          </w:tcPr>
          <w:p w14:paraId="05303777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 xml:space="preserve">ISYL </w:t>
            </w:r>
            <w:proofErr w:type="spellStart"/>
            <w:r w:rsidRPr="006F56CA">
              <w:rPr>
                <w:rFonts w:ascii="Trebuchet MS" w:hAnsi="Trebuchet MS" w:cs="Times New Roman"/>
              </w:rPr>
              <w:t>Italian</w:t>
            </w:r>
            <w:proofErr w:type="spellEnd"/>
            <w:r w:rsidRPr="006F56CA">
              <w:rPr>
                <w:rFonts w:ascii="Trebuchet MS" w:hAnsi="Trebuchet MS" w:cs="Times New Roman"/>
              </w:rPr>
              <w:t xml:space="preserve"> Super Yacht Life</w:t>
            </w:r>
          </w:p>
        </w:tc>
        <w:tc>
          <w:tcPr>
            <w:tcW w:w="2835" w:type="dxa"/>
            <w:shd w:val="clear" w:color="auto" w:fill="auto"/>
          </w:tcPr>
          <w:p w14:paraId="25CC7326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>Mobilità sostenibile della filiera nautica, trasporti e logistica</w:t>
            </w:r>
          </w:p>
        </w:tc>
        <w:tc>
          <w:tcPr>
            <w:tcW w:w="4107" w:type="dxa"/>
            <w:shd w:val="clear" w:color="auto" w:fill="auto"/>
          </w:tcPr>
          <w:p w14:paraId="2F6A4502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/>
                <w:i/>
              </w:rPr>
              <w:t>Nuove figure e tecnologie nella nautica da diporto</w:t>
            </w:r>
          </w:p>
        </w:tc>
      </w:tr>
      <w:tr w:rsidR="009130C8" w:rsidRPr="009130C8" w14:paraId="6FEE12C9" w14:textId="77777777" w:rsidTr="006F56CA">
        <w:tc>
          <w:tcPr>
            <w:tcW w:w="2834" w:type="dxa"/>
            <w:vMerge w:val="restart"/>
            <w:shd w:val="clear" w:color="auto" w:fill="auto"/>
          </w:tcPr>
          <w:p w14:paraId="0B5EF954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  <w:lang w:val="en-US"/>
              </w:rPr>
              <w:t>MITA Made in Italy Tuscany Academy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8FBBEB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>Moda</w:t>
            </w:r>
          </w:p>
        </w:tc>
        <w:tc>
          <w:tcPr>
            <w:tcW w:w="4107" w:type="dxa"/>
            <w:shd w:val="clear" w:color="auto" w:fill="auto"/>
          </w:tcPr>
          <w:p w14:paraId="06290D40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/>
                <w:i/>
              </w:rPr>
              <w:t xml:space="preserve">Digital </w:t>
            </w:r>
            <w:proofErr w:type="spellStart"/>
            <w:r w:rsidRPr="006F56CA">
              <w:rPr>
                <w:rFonts w:ascii="Trebuchet MS" w:hAnsi="Trebuchet MS"/>
                <w:i/>
              </w:rPr>
              <w:t>innovation</w:t>
            </w:r>
            <w:proofErr w:type="spellEnd"/>
            <w:r w:rsidRPr="006F56CA">
              <w:rPr>
                <w:rFonts w:ascii="Trebuchet MS" w:hAnsi="Trebuchet MS"/>
                <w:i/>
              </w:rPr>
              <w:t xml:space="preserve"> e smart </w:t>
            </w:r>
            <w:proofErr w:type="spellStart"/>
            <w:r w:rsidRPr="006F56CA">
              <w:rPr>
                <w:rFonts w:ascii="Trebuchet MS" w:hAnsi="Trebuchet MS"/>
                <w:i/>
              </w:rPr>
              <w:t>factory</w:t>
            </w:r>
            <w:proofErr w:type="spellEnd"/>
            <w:r w:rsidRPr="006F56CA">
              <w:rPr>
                <w:rFonts w:ascii="Trebuchet MS" w:hAnsi="Trebuchet MS"/>
                <w:i/>
              </w:rPr>
              <w:t>: le nuove frontiere della produzione</w:t>
            </w:r>
          </w:p>
        </w:tc>
      </w:tr>
      <w:tr w:rsidR="009130C8" w:rsidRPr="009130C8" w14:paraId="2BF4B2C2" w14:textId="77777777" w:rsidTr="006F56CA">
        <w:tc>
          <w:tcPr>
            <w:tcW w:w="2834" w:type="dxa"/>
            <w:vMerge/>
            <w:shd w:val="clear" w:color="auto" w:fill="auto"/>
          </w:tcPr>
          <w:p w14:paraId="1B538E40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84F002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59F876DC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/>
                <w:i/>
              </w:rPr>
            </w:pPr>
            <w:r w:rsidRPr="006F56CA">
              <w:rPr>
                <w:rFonts w:ascii="Trebuchet MS" w:hAnsi="Trebuchet MS"/>
                <w:i/>
              </w:rPr>
              <w:t xml:space="preserve">Il prodotto moda: fashion </w:t>
            </w:r>
            <w:proofErr w:type="spellStart"/>
            <w:r w:rsidRPr="006F56CA">
              <w:rPr>
                <w:rFonts w:ascii="Trebuchet MS" w:hAnsi="Trebuchet MS"/>
                <w:i/>
              </w:rPr>
              <w:t>development</w:t>
            </w:r>
            <w:proofErr w:type="spellEnd"/>
            <w:r w:rsidRPr="006F56CA">
              <w:rPr>
                <w:rFonts w:ascii="Trebuchet MS" w:hAnsi="Trebuchet MS"/>
                <w:i/>
              </w:rPr>
              <w:t xml:space="preserve"> on web</w:t>
            </w:r>
          </w:p>
        </w:tc>
      </w:tr>
      <w:tr w:rsidR="009130C8" w:rsidRPr="009130C8" w14:paraId="20D0E8A9" w14:textId="77777777" w:rsidTr="006F56CA">
        <w:tc>
          <w:tcPr>
            <w:tcW w:w="2834" w:type="dxa"/>
            <w:vMerge/>
            <w:shd w:val="clear" w:color="auto" w:fill="auto"/>
          </w:tcPr>
          <w:p w14:paraId="657A9856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330F9B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60EA8A85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/>
                <w:i/>
              </w:rPr>
            </w:pPr>
            <w:r w:rsidRPr="006F56CA">
              <w:rPr>
                <w:rFonts w:ascii="Trebuchet MS" w:hAnsi="Trebuchet MS"/>
                <w:i/>
                <w:lang w:val="en-US"/>
              </w:rPr>
              <w:t>Accessories: Made in Italy and luxury</w:t>
            </w:r>
          </w:p>
        </w:tc>
      </w:tr>
      <w:tr w:rsidR="009130C8" w:rsidRPr="009130C8" w14:paraId="0D88BDFA" w14:textId="77777777" w:rsidTr="006F56CA">
        <w:trPr>
          <w:trHeight w:val="918"/>
        </w:trPr>
        <w:tc>
          <w:tcPr>
            <w:tcW w:w="2834" w:type="dxa"/>
            <w:vMerge w:val="restart"/>
            <w:shd w:val="clear" w:color="auto" w:fill="auto"/>
          </w:tcPr>
          <w:p w14:paraId="097A54CB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lastRenderedPageBreak/>
              <w:t xml:space="preserve">PRIME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13A878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 xml:space="preserve">Sistema meccanica e ICT (Information and </w:t>
            </w:r>
            <w:proofErr w:type="spellStart"/>
            <w:r w:rsidRPr="006F56CA">
              <w:rPr>
                <w:rFonts w:ascii="Trebuchet MS" w:hAnsi="Trebuchet MS" w:cs="Times New Roman"/>
              </w:rPr>
              <w:t>Comunication</w:t>
            </w:r>
            <w:proofErr w:type="spellEnd"/>
            <w:r w:rsidRPr="006F56CA">
              <w:rPr>
                <w:rFonts w:ascii="Trebuchet MS" w:hAnsi="Trebuchet MS" w:cs="Times New Roman"/>
              </w:rPr>
              <w:t xml:space="preserve"> Technology)</w:t>
            </w:r>
          </w:p>
        </w:tc>
        <w:tc>
          <w:tcPr>
            <w:tcW w:w="4107" w:type="dxa"/>
            <w:shd w:val="clear" w:color="auto" w:fill="auto"/>
          </w:tcPr>
          <w:p w14:paraId="4E32CA53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/>
                <w:i/>
              </w:rPr>
              <w:t>Industria 4.0: il lavoro nella quarta rivoluzione industriale</w:t>
            </w:r>
          </w:p>
        </w:tc>
      </w:tr>
      <w:tr w:rsidR="009130C8" w:rsidRPr="009130C8" w14:paraId="2FA5D3A0" w14:textId="77777777" w:rsidTr="006F56CA">
        <w:trPr>
          <w:trHeight w:val="918"/>
        </w:trPr>
        <w:tc>
          <w:tcPr>
            <w:tcW w:w="2834" w:type="dxa"/>
            <w:vMerge/>
            <w:shd w:val="clear" w:color="auto" w:fill="auto"/>
          </w:tcPr>
          <w:p w14:paraId="51ECE1E8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A36311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221C383A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/>
                <w:i/>
              </w:rPr>
              <w:t>Additive manufacturing: un nuovo approccio per la produzione industriale</w:t>
            </w:r>
          </w:p>
        </w:tc>
      </w:tr>
      <w:tr w:rsidR="009130C8" w:rsidRPr="009130C8" w14:paraId="2682AEA6" w14:textId="77777777" w:rsidTr="006F56CA">
        <w:trPr>
          <w:trHeight w:val="496"/>
        </w:trPr>
        <w:tc>
          <w:tcPr>
            <w:tcW w:w="2834" w:type="dxa"/>
            <w:vMerge/>
            <w:shd w:val="clear" w:color="auto" w:fill="auto"/>
          </w:tcPr>
          <w:p w14:paraId="07B470B4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54591F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2EEBC8CA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/>
                <w:i/>
              </w:rPr>
              <w:t>Robotica Industriale: una svolta per l'automazione della produzione</w:t>
            </w:r>
          </w:p>
        </w:tc>
      </w:tr>
      <w:tr w:rsidR="009130C8" w:rsidRPr="009130C8" w14:paraId="0CCFD214" w14:textId="77777777" w:rsidTr="006F56CA">
        <w:tc>
          <w:tcPr>
            <w:tcW w:w="2834" w:type="dxa"/>
            <w:shd w:val="clear" w:color="auto" w:fill="auto"/>
          </w:tcPr>
          <w:p w14:paraId="7E72D1CB" w14:textId="77777777" w:rsidR="009130C8" w:rsidRPr="006F56CA" w:rsidRDefault="009130C8" w:rsidP="009130C8">
            <w:pPr>
              <w:spacing w:afterLines="160" w:after="384" w:line="276" w:lineRule="auto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>TAB Turismo Arte e Beni Culturali</w:t>
            </w:r>
          </w:p>
        </w:tc>
        <w:tc>
          <w:tcPr>
            <w:tcW w:w="2835" w:type="dxa"/>
            <w:shd w:val="clear" w:color="auto" w:fill="auto"/>
          </w:tcPr>
          <w:p w14:paraId="15E7617E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 xml:space="preserve">Turismo e beni culturali </w:t>
            </w:r>
          </w:p>
        </w:tc>
        <w:tc>
          <w:tcPr>
            <w:tcW w:w="4107" w:type="dxa"/>
            <w:shd w:val="clear" w:color="auto" w:fill="auto"/>
          </w:tcPr>
          <w:p w14:paraId="6893E547" w14:textId="7AB2E3AF" w:rsidR="009130C8" w:rsidRPr="00B870E4" w:rsidRDefault="00046D72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  <w:i/>
                <w:iCs/>
              </w:rPr>
            </w:pPr>
            <w:r>
              <w:rPr>
                <w:rFonts w:ascii="Trebuchet MS" w:hAnsi="Trebuchet MS" w:cs="Times New Roman"/>
                <w:i/>
                <w:iCs/>
              </w:rPr>
              <w:t>Tecnologie e applicaz</w:t>
            </w:r>
            <w:r w:rsidR="0030090E">
              <w:rPr>
                <w:rFonts w:ascii="Trebuchet MS" w:hAnsi="Trebuchet MS" w:cs="Times New Roman"/>
                <w:i/>
                <w:iCs/>
              </w:rPr>
              <w:t>i</w:t>
            </w:r>
            <w:r>
              <w:rPr>
                <w:rFonts w:ascii="Trebuchet MS" w:hAnsi="Trebuchet MS" w:cs="Times New Roman"/>
                <w:i/>
                <w:iCs/>
              </w:rPr>
              <w:t>oni della r</w:t>
            </w:r>
            <w:r w:rsidR="0030090E">
              <w:rPr>
                <w:rFonts w:ascii="Trebuchet MS" w:hAnsi="Trebuchet MS" w:cs="Times New Roman"/>
                <w:i/>
                <w:iCs/>
              </w:rPr>
              <w:t>ealtà</w:t>
            </w:r>
            <w:r>
              <w:rPr>
                <w:rFonts w:ascii="Trebuchet MS" w:hAnsi="Trebuchet MS" w:cs="Times New Roman"/>
                <w:i/>
                <w:iCs/>
              </w:rPr>
              <w:t xml:space="preserve"> aum</w:t>
            </w:r>
            <w:r w:rsidR="0030090E">
              <w:rPr>
                <w:rFonts w:ascii="Trebuchet MS" w:hAnsi="Trebuchet MS" w:cs="Times New Roman"/>
                <w:i/>
                <w:iCs/>
              </w:rPr>
              <w:t>e</w:t>
            </w:r>
            <w:r>
              <w:rPr>
                <w:rFonts w:ascii="Trebuchet MS" w:hAnsi="Trebuchet MS" w:cs="Times New Roman"/>
                <w:i/>
                <w:iCs/>
              </w:rPr>
              <w:t>ntata nella filiera del t</w:t>
            </w:r>
            <w:r w:rsidR="00F700AF">
              <w:rPr>
                <w:rFonts w:ascii="Trebuchet MS" w:hAnsi="Trebuchet MS" w:cs="Times New Roman"/>
                <w:i/>
                <w:iCs/>
              </w:rPr>
              <w:t>u</w:t>
            </w:r>
            <w:r>
              <w:rPr>
                <w:rFonts w:ascii="Trebuchet MS" w:hAnsi="Trebuchet MS" w:cs="Times New Roman"/>
                <w:i/>
                <w:iCs/>
              </w:rPr>
              <w:t>rismo dei b</w:t>
            </w:r>
            <w:r w:rsidR="0030090E">
              <w:rPr>
                <w:rFonts w:ascii="Trebuchet MS" w:hAnsi="Trebuchet MS" w:cs="Times New Roman"/>
                <w:i/>
                <w:iCs/>
              </w:rPr>
              <w:t>e</w:t>
            </w:r>
            <w:r>
              <w:rPr>
                <w:rFonts w:ascii="Trebuchet MS" w:hAnsi="Trebuchet MS" w:cs="Times New Roman"/>
                <w:i/>
                <w:iCs/>
              </w:rPr>
              <w:t>ni culturali e delle lavorazioni artistiche</w:t>
            </w:r>
          </w:p>
        </w:tc>
      </w:tr>
      <w:tr w:rsidR="009130C8" w:rsidRPr="009130C8" w14:paraId="3992FC91" w14:textId="77777777" w:rsidTr="006F56CA">
        <w:tc>
          <w:tcPr>
            <w:tcW w:w="2834" w:type="dxa"/>
            <w:vMerge w:val="restart"/>
            <w:shd w:val="clear" w:color="auto" w:fill="auto"/>
          </w:tcPr>
          <w:p w14:paraId="1BBAF15B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>VITA Nuove tecnologie della vita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DC9EA5A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 w:cs="Times New Roman"/>
              </w:rPr>
              <w:t>Chimico farmaceutico</w:t>
            </w:r>
          </w:p>
        </w:tc>
        <w:tc>
          <w:tcPr>
            <w:tcW w:w="4107" w:type="dxa"/>
            <w:shd w:val="clear" w:color="auto" w:fill="auto"/>
          </w:tcPr>
          <w:p w14:paraId="763064AB" w14:textId="77777777" w:rsidR="009130C8" w:rsidRPr="006F56CA" w:rsidRDefault="009130C8" w:rsidP="009130C8">
            <w:pPr>
              <w:rPr>
                <w:rFonts w:ascii="Trebuchet MS" w:hAnsi="Trebuchet MS" w:cs="Times New Roman"/>
              </w:rPr>
            </w:pPr>
            <w:r w:rsidRPr="006F56CA">
              <w:rPr>
                <w:rFonts w:ascii="Trebuchet MS" w:hAnsi="Trebuchet MS"/>
                <w:i/>
              </w:rPr>
              <w:t>Realtà virtuale e aumentata nella farmaceutica</w:t>
            </w:r>
          </w:p>
        </w:tc>
      </w:tr>
      <w:tr w:rsidR="009130C8" w:rsidRPr="009130C8" w14:paraId="5BD0B0EC" w14:textId="77777777" w:rsidTr="006F56CA">
        <w:tc>
          <w:tcPr>
            <w:tcW w:w="2834" w:type="dxa"/>
            <w:vMerge/>
            <w:shd w:val="clear" w:color="auto" w:fill="auto"/>
          </w:tcPr>
          <w:p w14:paraId="56F017AC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C908E2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6266B96A" w14:textId="77777777" w:rsidR="009130C8" w:rsidRPr="006F56CA" w:rsidRDefault="009130C8" w:rsidP="009130C8">
            <w:pPr>
              <w:rPr>
                <w:rFonts w:ascii="Trebuchet MS" w:hAnsi="Trebuchet MS" w:cs="Calibri"/>
                <w:i/>
                <w:iCs/>
              </w:rPr>
            </w:pPr>
            <w:r w:rsidRPr="006F56CA">
              <w:rPr>
                <w:rFonts w:ascii="Trebuchet MS" w:hAnsi="Trebuchet MS" w:cs="Calibri"/>
                <w:i/>
                <w:iCs/>
              </w:rPr>
              <w:t>Precision Medicine</w:t>
            </w:r>
          </w:p>
          <w:p w14:paraId="19E40641" w14:textId="77777777" w:rsidR="009130C8" w:rsidRPr="006F56CA" w:rsidRDefault="009130C8" w:rsidP="009130C8">
            <w:pPr>
              <w:rPr>
                <w:rFonts w:ascii="Trebuchet MS" w:hAnsi="Trebuchet MS"/>
                <w:i/>
              </w:rPr>
            </w:pPr>
          </w:p>
        </w:tc>
      </w:tr>
      <w:tr w:rsidR="009130C8" w:rsidRPr="009130C8" w14:paraId="484EBEEC" w14:textId="77777777" w:rsidTr="006F56CA">
        <w:tc>
          <w:tcPr>
            <w:tcW w:w="2834" w:type="dxa"/>
            <w:vMerge/>
            <w:shd w:val="clear" w:color="auto" w:fill="auto"/>
          </w:tcPr>
          <w:p w14:paraId="7020283F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B4E2EA" w14:textId="77777777" w:rsidR="009130C8" w:rsidRPr="006F56CA" w:rsidRDefault="009130C8" w:rsidP="009130C8">
            <w:pPr>
              <w:spacing w:afterLines="160" w:after="384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4107" w:type="dxa"/>
            <w:shd w:val="clear" w:color="auto" w:fill="auto"/>
          </w:tcPr>
          <w:p w14:paraId="6271DF62" w14:textId="77777777" w:rsidR="009130C8" w:rsidRPr="006F56CA" w:rsidRDefault="009130C8" w:rsidP="009130C8">
            <w:pPr>
              <w:spacing w:line="320" w:lineRule="exact"/>
              <w:rPr>
                <w:rFonts w:ascii="Trebuchet MS" w:hAnsi="Trebuchet MS" w:cs="Calibri"/>
                <w:i/>
                <w:iCs/>
              </w:rPr>
            </w:pPr>
            <w:r w:rsidRPr="006F56CA">
              <w:rPr>
                <w:rFonts w:ascii="Trebuchet MS" w:hAnsi="Trebuchet MS" w:cs="Calibri"/>
                <w:i/>
                <w:iCs/>
              </w:rPr>
              <w:t xml:space="preserve">Le biomolecole e la loro struttura tridimensionale </w:t>
            </w:r>
          </w:p>
          <w:p w14:paraId="45938B2B" w14:textId="77777777" w:rsidR="009130C8" w:rsidRPr="006F56CA" w:rsidRDefault="009130C8" w:rsidP="009130C8">
            <w:pPr>
              <w:rPr>
                <w:rFonts w:ascii="Trebuchet MS" w:hAnsi="Trebuchet MS"/>
                <w:i/>
              </w:rPr>
            </w:pPr>
          </w:p>
        </w:tc>
      </w:tr>
    </w:tbl>
    <w:p w14:paraId="7F07219E" w14:textId="77777777" w:rsidR="009130C8" w:rsidRDefault="009130C8"/>
    <w:sectPr w:rsidR="00913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C8"/>
    <w:rsid w:val="00046D72"/>
    <w:rsid w:val="000A6AED"/>
    <w:rsid w:val="000D3110"/>
    <w:rsid w:val="00253771"/>
    <w:rsid w:val="0030090E"/>
    <w:rsid w:val="00400DEA"/>
    <w:rsid w:val="004A4654"/>
    <w:rsid w:val="006733E7"/>
    <w:rsid w:val="006F56CA"/>
    <w:rsid w:val="00892A4E"/>
    <w:rsid w:val="009130C8"/>
    <w:rsid w:val="00B870E4"/>
    <w:rsid w:val="00DB161F"/>
    <w:rsid w:val="00F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144E"/>
  <w15:chartTrackingRefBased/>
  <w15:docId w15:val="{8048850D-BA44-47BC-9650-0DD75994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Andreani</dc:creator>
  <cp:keywords/>
  <dc:description/>
  <cp:lastModifiedBy>Piera Andreani</cp:lastModifiedBy>
  <cp:revision>13</cp:revision>
  <dcterms:created xsi:type="dcterms:W3CDTF">2021-05-21T10:19:00Z</dcterms:created>
  <dcterms:modified xsi:type="dcterms:W3CDTF">2021-05-24T11:17:00Z</dcterms:modified>
</cp:coreProperties>
</file>